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400" w:line="480" w:lineRule="auto"/>
        <w:rPr>
          <w:rFonts w:ascii="Times New Roman" w:cs="Times New Roman" w:eastAsia="Times New Roman" w:hAnsi="Times New Roman"/>
          <w:color w:val="000000"/>
          <w:sz w:val="22"/>
          <w:szCs w:val="22"/>
          <w:highlight w:val="white"/>
        </w:rPr>
      </w:pPr>
      <w:r w:rsidDel="00000000" w:rsidR="00000000" w:rsidRPr="00000000">
        <w:rPr>
          <w:rtl w:val="0"/>
        </w:rPr>
      </w:r>
    </w:p>
    <w:p w:rsidR="00000000" w:rsidDel="00000000" w:rsidP="00000000" w:rsidRDefault="00000000" w:rsidRPr="00000000" w14:paraId="00000002">
      <w:pPr>
        <w:spacing w:after="120" w:before="400"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highlight w:val="white"/>
          <w:rtl w:val="0"/>
        </w:rPr>
        <w:t xml:space="preserve">Appendix 1</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Pedagogy of the Oppressed  </w:t>
      </w:r>
      <w:r w:rsidDel="00000000" w:rsidR="00000000" w:rsidRPr="00000000">
        <w:rPr>
          <w:rtl w:val="0"/>
        </w:rPr>
      </w:r>
    </w:p>
    <w:p w:rsidR="00000000" w:rsidDel="00000000" w:rsidP="00000000" w:rsidRDefault="00000000" w:rsidRPr="00000000" w14:paraId="00000004">
      <w:pPr>
        <w:spacing w:before="57"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Paulo Freire, 1970  </w:t>
      </w:r>
      <w:r w:rsidDel="00000000" w:rsidR="00000000" w:rsidRPr="00000000">
        <w:rPr>
          <w:rtl w:val="0"/>
        </w:rPr>
      </w:r>
    </w:p>
    <w:p w:rsidR="00000000" w:rsidDel="00000000" w:rsidP="00000000" w:rsidRDefault="00000000" w:rsidRPr="00000000" w14:paraId="00000005">
      <w:pPr>
        <w:spacing w:before="63" w:lineRule="auto"/>
        <w:ind w:left="7"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excerpts from CHAPTER 2  </w:t>
      </w:r>
      <w:r w:rsidDel="00000000" w:rsidR="00000000" w:rsidRPr="00000000">
        <w:rPr>
          <w:rtl w:val="0"/>
        </w:rPr>
      </w:r>
    </w:p>
    <w:p w:rsidR="00000000" w:rsidDel="00000000" w:rsidP="00000000" w:rsidRDefault="00000000" w:rsidRPr="00000000" w14:paraId="00000006">
      <w:pPr>
        <w:spacing w:before="383" w:lineRule="auto"/>
        <w:ind w:left="26" w:right="57" w:hanging="374"/>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1. In the banking concept of education, knowledge is a gift bestowed by those who consider themselves knowledgeable upon those whom they consider to know nothing. Projecting an absolute ignorance onto others, a characteristic of the ideology) of oppression, negates education and knowledge as processes of inquiry. The teacher presents himself to his students as their necessary opposite; by considering their ignorance absolute, he justifies his own existence. The students, alienated like the slave in the Hegelian dialectic, accept their ignorance as justifying the teacher's existence—but, unlike the slave, they never discover that they educate the teacher.  </w:t>
      </w:r>
      <w:r w:rsidDel="00000000" w:rsidR="00000000" w:rsidRPr="00000000">
        <w:rPr>
          <w:rtl w:val="0"/>
        </w:rPr>
      </w:r>
    </w:p>
    <w:p w:rsidR="00000000" w:rsidDel="00000000" w:rsidP="00000000" w:rsidRDefault="00000000" w:rsidRPr="00000000" w14:paraId="00000007">
      <w:pPr>
        <w:spacing w:before="84" w:lineRule="auto"/>
        <w:ind w:left="5" w:right="723" w:hanging="403"/>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2. The banking education maintains and even stimulates the contradiction through the following attitudes and practices, which mirror oppressive society as a whole:  </w:t>
      </w:r>
      <w:r w:rsidDel="00000000" w:rsidR="00000000" w:rsidRPr="00000000">
        <w:rPr>
          <w:rtl w:val="0"/>
        </w:rPr>
      </w:r>
    </w:p>
    <w:p w:rsidR="00000000" w:rsidDel="00000000" w:rsidP="00000000" w:rsidRDefault="00000000" w:rsidRPr="00000000" w14:paraId="00000008">
      <w:pPr>
        <w:spacing w:before="8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 (a) the teacher teaches and the students are taught;  </w:t>
      </w:r>
      <w:r w:rsidDel="00000000" w:rsidR="00000000" w:rsidRPr="00000000">
        <w:rPr>
          <w:rtl w:val="0"/>
        </w:rPr>
      </w:r>
    </w:p>
    <w:p w:rsidR="00000000" w:rsidDel="00000000" w:rsidP="00000000" w:rsidRDefault="00000000" w:rsidRPr="00000000" w14:paraId="00000009">
      <w:pPr>
        <w:spacing w:before="8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 (b) the teacher knows everything and the students know nothing;  </w:t>
      </w:r>
      <w:r w:rsidDel="00000000" w:rsidR="00000000" w:rsidRPr="00000000">
        <w:rPr>
          <w:rtl w:val="0"/>
        </w:rPr>
      </w:r>
    </w:p>
    <w:p w:rsidR="00000000" w:rsidDel="00000000" w:rsidP="00000000" w:rsidRDefault="00000000" w:rsidRPr="00000000" w14:paraId="0000000A">
      <w:pPr>
        <w:spacing w:before="8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 (c) the teacher thinks and the students are thought about;  </w:t>
      </w:r>
      <w:r w:rsidDel="00000000" w:rsidR="00000000" w:rsidRPr="00000000">
        <w:rPr>
          <w:rtl w:val="0"/>
        </w:rPr>
      </w:r>
    </w:p>
    <w:p w:rsidR="00000000" w:rsidDel="00000000" w:rsidP="00000000" w:rsidRDefault="00000000" w:rsidRPr="00000000" w14:paraId="0000000B">
      <w:pPr>
        <w:spacing w:before="8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 (d) the teacher talks and the students listen—meekly;  </w:t>
      </w:r>
      <w:r w:rsidDel="00000000" w:rsidR="00000000" w:rsidRPr="00000000">
        <w:rPr>
          <w:rtl w:val="0"/>
        </w:rPr>
      </w:r>
    </w:p>
    <w:p w:rsidR="00000000" w:rsidDel="00000000" w:rsidP="00000000" w:rsidRDefault="00000000" w:rsidRPr="00000000" w14:paraId="0000000C">
      <w:pPr>
        <w:spacing w:before="8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 (e) the teacher disciplines and the students are disciplined;  </w:t>
      </w:r>
      <w:r w:rsidDel="00000000" w:rsidR="00000000" w:rsidRPr="00000000">
        <w:rPr>
          <w:rtl w:val="0"/>
        </w:rPr>
      </w:r>
    </w:p>
    <w:p w:rsidR="00000000" w:rsidDel="00000000" w:rsidP="00000000" w:rsidRDefault="00000000" w:rsidRPr="00000000" w14:paraId="0000000D">
      <w:pPr>
        <w:spacing w:before="103"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 (f) the teacher chooses and enforces his choice, and the students comply;  </w:t>
      </w:r>
      <w:r w:rsidDel="00000000" w:rsidR="00000000" w:rsidRPr="00000000">
        <w:rPr>
          <w:rtl w:val="0"/>
        </w:rPr>
      </w:r>
    </w:p>
    <w:p w:rsidR="00000000" w:rsidDel="00000000" w:rsidP="00000000" w:rsidRDefault="00000000" w:rsidRPr="00000000" w14:paraId="0000000E">
      <w:pPr>
        <w:spacing w:before="83" w:lineRule="auto"/>
        <w:ind w:right="880" w:hanging="782"/>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 (g) the teacher acts and the students have the illusion of acting through the action of the teacher;  </w:t>
      </w:r>
      <w:r w:rsidDel="00000000" w:rsidR="00000000" w:rsidRPr="00000000">
        <w:rPr>
          <w:rtl w:val="0"/>
        </w:rPr>
      </w:r>
    </w:p>
    <w:p w:rsidR="00000000" w:rsidDel="00000000" w:rsidP="00000000" w:rsidRDefault="00000000" w:rsidRPr="00000000" w14:paraId="0000000F">
      <w:pPr>
        <w:spacing w:before="143" w:lineRule="auto"/>
        <w:ind w:right="905" w:hanging="788"/>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 (h) the teacher chooses the program content, and the students (who were not consulted) adapt to it;  </w:t>
      </w:r>
      <w:r w:rsidDel="00000000" w:rsidR="00000000" w:rsidRPr="00000000">
        <w:rPr>
          <w:rtl w:val="0"/>
        </w:rPr>
      </w:r>
    </w:p>
    <w:p w:rsidR="00000000" w:rsidDel="00000000" w:rsidP="00000000" w:rsidRDefault="00000000" w:rsidRPr="00000000" w14:paraId="00000010">
      <w:pPr>
        <w:spacing w:before="103" w:lineRule="auto"/>
        <w:ind w:right="120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 (i) the teacher confuses the authority of knowledge with his or her own professional authority, which she and he sets in opposition to the freedom of the students;  </w:t>
      </w:r>
      <w:r w:rsidDel="00000000" w:rsidR="00000000" w:rsidRPr="00000000">
        <w:rPr>
          <w:rtl w:val="0"/>
        </w:rPr>
      </w:r>
    </w:p>
    <w:p w:rsidR="00000000" w:rsidDel="00000000" w:rsidP="00000000" w:rsidRDefault="00000000" w:rsidRPr="00000000" w14:paraId="00000011">
      <w:pPr>
        <w:spacing w:before="87"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 (j) the teacher is the Subject of the learning process, while the pupils are mere objects. </w:t>
      </w:r>
      <w:r w:rsidDel="00000000" w:rsidR="00000000" w:rsidRPr="00000000">
        <w:rPr>
          <w:rtl w:val="0"/>
        </w:rPr>
      </w:r>
    </w:p>
    <w:p w:rsidR="00000000" w:rsidDel="00000000" w:rsidP="00000000" w:rsidRDefault="00000000" w:rsidRPr="00000000" w14:paraId="00000012">
      <w:pPr>
        <w:spacing w:before="143" w:lineRule="auto"/>
        <w:ind w:left="9" w:right="121" w:hanging="392"/>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3. The capability of banking education to minimize or annul the students' creative power and to stimulate their credulity serves the interests of the oppressors, who care neither to have the world revealed nor to see it transformed. The oppressors use their "humanitarianism" to preserve a profitable situation. Thus they react almost instinctively against any experiment in education which stimulates the critical faculties and is not content with a partial view of reality but always seeks out the ties  which link one point to another and one problem to another.  </w:t>
      </w:r>
      <w:r w:rsidDel="00000000" w:rsidR="00000000" w:rsidRPr="00000000">
        <w:rPr>
          <w:rtl w:val="0"/>
        </w:rPr>
      </w:r>
    </w:p>
    <w:p w:rsidR="00000000" w:rsidDel="00000000" w:rsidP="00000000" w:rsidRDefault="00000000" w:rsidRPr="00000000" w14:paraId="00000013">
      <w:pPr>
        <w:spacing w:before="84" w:lineRule="auto"/>
        <w:ind w:left="4" w:right="71" w:hanging="396"/>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4. Indeed, the interests of the oppressors lie in "changing the consciousness of the oppressed, not the situation which oppresses them"; for the more the oppressed can be led to adapt to that situation, the  more easily they can be dominated. To achieve this end, the oppressors use the banking concept of education in conjunction with a paternalistic social action apparatus, within which the oppressed  receive the euphemistic title of "welfare recipients." They are treated as individual cases, as marginal persons who deviate from the general configuration of a "good, organized, and just" society. The oppressed are regarded as the pathology of the healthy society, which must therefore adjust these  "incompetent and lazy" folk to its own patterns by changing their mentality. These marginals need to be "integrated," "incorporated" into the healthy society that they have "forsaken."  </w:t>
      </w:r>
      <w:r w:rsidDel="00000000" w:rsidR="00000000" w:rsidRPr="00000000">
        <w:rPr>
          <w:rtl w:val="0"/>
        </w:rPr>
      </w:r>
    </w:p>
    <w:p w:rsidR="00000000" w:rsidDel="00000000" w:rsidP="00000000" w:rsidRDefault="00000000" w:rsidRPr="00000000" w14:paraId="00000014">
      <w:pPr>
        <w:spacing w:before="84" w:lineRule="auto"/>
        <w:ind w:left="4" w:right="71" w:hanging="396"/>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5. The banking approach to adult education, for example, will never propose to students that they critically consider reality. It will deal instead with such vital questions as whether Roger gave green grass to the goat, and insist upon the importance of learning that, on the contrary, Roger gave green  grass to the rabbit. The "humanism" of the banking approach masks the effort to turn women and men into automatons—the very negation of their ontological vocation to be more fully human. </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9" w:right="34" w:hanging="390"/>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6. Those who use the banking approach, knowingly or unknowingly (for there are innumerable well intentioned bank-clerk teachers who do not realize that they are serving only to dehumanize), fail to perceive that the deposits themselves contain contradictions about reality. But, sooner or later, these contradictions may lead formerly passive students to turn against their domestication and the attempt  to domesticate reality. They may discover through existential experience that their present way of life is irreconcilable with their vocation to become fully human. They may perceive through their relations with reality that reality is really a process, undergoing constant transformation. If men and women are searchers and their ontological vocation is humanization, sooner or later they may perceive the contradiction in which banking education seeks to maintain them, and then engage  themselves in the struggle for their liberation.  </w:t>
      </w:r>
      <w:r w:rsidDel="00000000" w:rsidR="00000000" w:rsidRPr="00000000">
        <w:rPr>
          <w:rtl w:val="0"/>
        </w:rPr>
      </w:r>
    </w:p>
    <w:p w:rsidR="00000000" w:rsidDel="00000000" w:rsidP="00000000" w:rsidRDefault="00000000" w:rsidRPr="00000000" w14:paraId="00000017">
      <w:pPr>
        <w:spacing w:before="8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 </w:t>
      </w:r>
      <w:r w:rsidDel="00000000" w:rsidR="00000000" w:rsidRPr="00000000">
        <w:rPr>
          <w:rtl w:val="0"/>
        </w:rPr>
      </w:r>
    </w:p>
    <w:p w:rsidR="00000000" w:rsidDel="00000000" w:rsidP="00000000" w:rsidRDefault="00000000" w:rsidRPr="00000000" w14:paraId="00000018">
      <w:pPr>
        <w:spacing w:before="63" w:lineRule="auto"/>
        <w:ind w:left="8" w:right="122" w:hanging="399"/>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7. Indeed, problem-posing education, which breaks with the vertical patterns characteristic of banking education, can fulfill its function as the practice of freedom only if it can overcome the above  contradiction. Through dialogue, the teacher-of-the-students and the students-of-the-teacher cease to exist and a new term emerges: teacher-student with students-teachers.  </w:t>
      </w:r>
      <w:r w:rsidDel="00000000" w:rsidR="00000000" w:rsidRPr="00000000">
        <w:rPr>
          <w:rtl w:val="0"/>
        </w:rPr>
      </w:r>
    </w:p>
    <w:p w:rsidR="00000000" w:rsidDel="00000000" w:rsidP="00000000" w:rsidRDefault="00000000" w:rsidRPr="00000000" w14:paraId="00000019">
      <w:pPr>
        <w:spacing w:before="84" w:lineRule="auto"/>
        <w:ind w:left="13" w:hanging="389"/>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8. The teacher is no longer merely the-one-who-teaches, but one who is himself taught in dialogue with the students, who in turn while being taught also teach. They become jointly responsible for a process in which all grow. In this process, arguments based on "authority" are no longer valid; in order to function, authority must be on the side of freedom, not against it. Here, no one teaches another, nor is anyone self-taught. People teach each other, mediated by the world, by the cognizable objects which in banking education are "owned" by the teacher.  </w:t>
      </w:r>
      <w:r w:rsidDel="00000000" w:rsidR="00000000" w:rsidRPr="00000000">
        <w:rPr>
          <w:rtl w:val="0"/>
        </w:rPr>
      </w:r>
    </w:p>
    <w:p w:rsidR="00000000" w:rsidDel="00000000" w:rsidP="00000000" w:rsidRDefault="00000000" w:rsidRPr="00000000" w14:paraId="0000001A">
      <w:pPr>
        <w:spacing w:before="84" w:lineRule="auto"/>
        <w:ind w:left="9" w:right="25" w:hanging="393"/>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2"/>
          <w:szCs w:val="22"/>
          <w:highlight w:val="white"/>
          <w:rtl w:val="0"/>
        </w:rPr>
        <w:t xml:space="preserve">9. The students—no longer docile listeners—are now critical co-investigators in dialogue with the teacher. The teacher presents the material to the students for their consideration, and re-considers her earlier considerations as the students express their own. The role of the problem-posing educator is to create; together with the students. </w:t>
      </w:r>
      <w:r w:rsidDel="00000000" w:rsidR="00000000" w:rsidRPr="00000000">
        <w:rPr>
          <w:rtl w:val="0"/>
        </w:rPr>
      </w:r>
    </w:p>
    <w:p w:rsidR="00000000" w:rsidDel="00000000" w:rsidP="00000000" w:rsidRDefault="00000000" w:rsidRPr="00000000" w14:paraId="0000001B">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after="120" w:before="4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highlight w:val="white"/>
          <w:rtl w:val="0"/>
        </w:rPr>
        <w:t xml:space="preserve">Appendix 2 </w:t>
      </w:r>
      <w:r w:rsidDel="00000000" w:rsidR="00000000" w:rsidRPr="00000000">
        <w:rPr>
          <w:rtl w:val="0"/>
        </w:rPr>
      </w:r>
    </w:p>
    <w:p w:rsidR="00000000" w:rsidDel="00000000" w:rsidP="00000000" w:rsidRDefault="00000000" w:rsidRPr="00000000" w14:paraId="0000001D">
      <w:pPr>
        <w:shd w:fill="ffffff" w:val="clea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color w:val="242424"/>
          <w:sz w:val="26"/>
          <w:szCs w:val="26"/>
          <w:highlight w:val="white"/>
          <w:rtl w:val="0"/>
        </w:rPr>
        <w:t xml:space="preserve">Youth Data Intern Recommendations for School Improvement, Summer 2023</w:t>
      </w:r>
      <w:r w:rsidDel="00000000" w:rsidR="00000000" w:rsidRPr="00000000">
        <w:rPr>
          <w:rtl w:val="0"/>
        </w:rPr>
      </w:r>
    </w:p>
    <w:p w:rsidR="00000000" w:rsidDel="00000000" w:rsidP="00000000" w:rsidRDefault="00000000" w:rsidRPr="00000000" w14:paraId="0000001E">
      <w:pPr>
        <w:shd w:fill="ffffff" w:val="clear"/>
        <w:spacing w:after="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242424"/>
          <w:sz w:val="21"/>
          <w:szCs w:val="21"/>
          <w:highlight w:val="white"/>
          <w:rtl w:val="0"/>
        </w:rPr>
        <w:t xml:space="preserve">Recommendations for PK-Elementary to Improve Teacher-Student Relationships:</w:t>
      </w:r>
      <w:r w:rsidDel="00000000" w:rsidR="00000000" w:rsidRPr="00000000">
        <w:rPr>
          <w:rtl w:val="0"/>
        </w:rPr>
      </w:r>
    </w:p>
    <w:p w:rsidR="00000000" w:rsidDel="00000000" w:rsidP="00000000" w:rsidRDefault="00000000" w:rsidRPr="00000000" w14:paraId="0000001F">
      <w:pPr>
        <w:numPr>
          <w:ilvl w:val="0"/>
          <w:numId w:val="1"/>
        </w:numPr>
        <w:shd w:fill="ffffff" w:val="clear"/>
        <w:spacing w:before="220" w:lineRule="auto"/>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Follow the law (HF-58):</w:t>
      </w:r>
      <w:r w:rsidDel="00000000" w:rsidR="00000000" w:rsidRPr="00000000">
        <w:rPr>
          <w:rtl w:val="0"/>
        </w:rPr>
      </w:r>
    </w:p>
    <w:p w:rsidR="00000000" w:rsidDel="00000000" w:rsidP="00000000" w:rsidRDefault="00000000" w:rsidRPr="00000000" w14:paraId="00000020">
      <w:pPr>
        <w:numPr>
          <w:ilvl w:val="1"/>
          <w:numId w:val="12"/>
        </w:numPr>
        <w:ind w:left="198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You cannot dismiss K-3 students unless:</w:t>
      </w:r>
      <w:r w:rsidDel="00000000" w:rsidR="00000000" w:rsidRPr="00000000">
        <w:rPr>
          <w:rtl w:val="0"/>
        </w:rPr>
      </w:r>
    </w:p>
    <w:p w:rsidR="00000000" w:rsidDel="00000000" w:rsidP="00000000" w:rsidRDefault="00000000" w:rsidRPr="00000000" w14:paraId="00000021">
      <w:pPr>
        <w:numPr>
          <w:ilvl w:val="2"/>
          <w:numId w:val="13"/>
        </w:numPr>
        <w:ind w:left="300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They are a danger.</w:t>
      </w:r>
      <w:r w:rsidDel="00000000" w:rsidR="00000000" w:rsidRPr="00000000">
        <w:rPr>
          <w:rtl w:val="0"/>
        </w:rPr>
      </w:r>
    </w:p>
    <w:p w:rsidR="00000000" w:rsidDel="00000000" w:rsidP="00000000" w:rsidRDefault="00000000" w:rsidRPr="00000000" w14:paraId="00000022">
      <w:pPr>
        <w:numPr>
          <w:ilvl w:val="2"/>
          <w:numId w:val="14"/>
        </w:numPr>
        <w:ind w:left="300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You’ve collaborated with family, mental-health specialists, or community-based services.</w:t>
      </w:r>
      <w:r w:rsidDel="00000000" w:rsidR="00000000" w:rsidRPr="00000000">
        <w:rPr>
          <w:rtl w:val="0"/>
        </w:rPr>
      </w:r>
    </w:p>
    <w:p w:rsidR="00000000" w:rsidDel="00000000" w:rsidP="00000000" w:rsidRDefault="00000000" w:rsidRPr="00000000" w14:paraId="00000023">
      <w:pPr>
        <w:numPr>
          <w:ilvl w:val="2"/>
          <w:numId w:val="15"/>
        </w:numPr>
        <w:ind w:left="300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You’ve created a plan with the parents detailing what the student must do to be in the classroom.</w:t>
      </w:r>
      <w:r w:rsidDel="00000000" w:rsidR="00000000" w:rsidRPr="00000000">
        <w:rPr>
          <w:rtl w:val="0"/>
        </w:rPr>
      </w:r>
    </w:p>
    <w:p w:rsidR="00000000" w:rsidDel="00000000" w:rsidP="00000000" w:rsidRDefault="00000000" w:rsidRPr="00000000" w14:paraId="00000024">
      <w:pPr>
        <w:numPr>
          <w:ilvl w:val="2"/>
          <w:numId w:val="16"/>
        </w:numPr>
        <w:ind w:left="300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You’ve provided support services for the student.</w:t>
      </w:r>
      <w:r w:rsidDel="00000000" w:rsidR="00000000" w:rsidRPr="00000000">
        <w:rPr>
          <w:rtl w:val="0"/>
        </w:rPr>
      </w:r>
    </w:p>
    <w:p w:rsidR="00000000" w:rsidDel="00000000" w:rsidP="00000000" w:rsidRDefault="00000000" w:rsidRPr="00000000" w14:paraId="00000025">
      <w:pPr>
        <w:numPr>
          <w:ilvl w:val="0"/>
          <w:numId w:val="16"/>
        </w:numPr>
        <w:shd w:fill="ffffff" w:val="clear"/>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Encourage more licensed teachers to work with summer programs.</w:t>
      </w:r>
      <w:r w:rsidDel="00000000" w:rsidR="00000000" w:rsidRPr="00000000">
        <w:rPr>
          <w:rtl w:val="0"/>
        </w:rPr>
      </w:r>
    </w:p>
    <w:p w:rsidR="00000000" w:rsidDel="00000000" w:rsidP="00000000" w:rsidRDefault="00000000" w:rsidRPr="00000000" w14:paraId="00000026">
      <w:pPr>
        <w:numPr>
          <w:ilvl w:val="0"/>
          <w:numId w:val="16"/>
        </w:numPr>
        <w:shd w:fill="ffffff" w:val="clear"/>
        <w:spacing w:after="220" w:lineRule="auto"/>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Share culturally relevant community-building practices.</w:t>
      </w:r>
      <w:r w:rsidDel="00000000" w:rsidR="00000000" w:rsidRPr="00000000">
        <w:rPr>
          <w:rtl w:val="0"/>
        </w:rPr>
      </w:r>
    </w:p>
    <w:p w:rsidR="00000000" w:rsidDel="00000000" w:rsidP="00000000" w:rsidRDefault="00000000" w:rsidRPr="00000000" w14:paraId="00000027">
      <w:pPr>
        <w:shd w:fill="ffffff" w:val="clear"/>
        <w:spacing w:after="80" w:before="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242424"/>
          <w:sz w:val="21"/>
          <w:szCs w:val="21"/>
          <w:highlight w:val="white"/>
          <w:rtl w:val="0"/>
        </w:rPr>
        <w:t xml:space="preserve">Recommendations for Secondary Schools to Improve Teacher-Student Relationships:</w:t>
      </w:r>
      <w:r w:rsidDel="00000000" w:rsidR="00000000" w:rsidRPr="00000000">
        <w:rPr>
          <w:rtl w:val="0"/>
        </w:rPr>
      </w:r>
    </w:p>
    <w:p w:rsidR="00000000" w:rsidDel="00000000" w:rsidP="00000000" w:rsidRDefault="00000000" w:rsidRPr="00000000" w14:paraId="00000028">
      <w:pPr>
        <w:numPr>
          <w:ilvl w:val="0"/>
          <w:numId w:val="17"/>
        </w:numPr>
        <w:shd w:fill="ffffff" w:val="clear"/>
        <w:spacing w:before="220" w:lineRule="auto"/>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Strengthen teacher-family relationships.</w:t>
      </w:r>
      <w:r w:rsidDel="00000000" w:rsidR="00000000" w:rsidRPr="00000000">
        <w:rPr>
          <w:rtl w:val="0"/>
        </w:rPr>
      </w:r>
    </w:p>
    <w:p w:rsidR="00000000" w:rsidDel="00000000" w:rsidP="00000000" w:rsidRDefault="00000000" w:rsidRPr="00000000" w14:paraId="00000029">
      <w:pPr>
        <w:numPr>
          <w:ilvl w:val="0"/>
          <w:numId w:val="17"/>
        </w:numPr>
        <w:shd w:fill="ffffff" w:val="clear"/>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Return to in-person conferences (more than ten minutes).</w:t>
      </w:r>
      <w:r w:rsidDel="00000000" w:rsidR="00000000" w:rsidRPr="00000000">
        <w:rPr>
          <w:rtl w:val="0"/>
        </w:rPr>
      </w:r>
    </w:p>
    <w:p w:rsidR="00000000" w:rsidDel="00000000" w:rsidP="00000000" w:rsidRDefault="00000000" w:rsidRPr="00000000" w14:paraId="0000002A">
      <w:pPr>
        <w:numPr>
          <w:ilvl w:val="0"/>
          <w:numId w:val="17"/>
        </w:numPr>
        <w:shd w:fill="ffffff" w:val="clear"/>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Increase student voice in curriculum.</w:t>
      </w:r>
      <w:r w:rsidDel="00000000" w:rsidR="00000000" w:rsidRPr="00000000">
        <w:rPr>
          <w:rtl w:val="0"/>
        </w:rPr>
      </w:r>
    </w:p>
    <w:p w:rsidR="00000000" w:rsidDel="00000000" w:rsidP="00000000" w:rsidRDefault="00000000" w:rsidRPr="00000000" w14:paraId="0000002B">
      <w:pPr>
        <w:numPr>
          <w:ilvl w:val="0"/>
          <w:numId w:val="17"/>
        </w:numPr>
        <w:shd w:fill="ffffff" w:val="clear"/>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Increase opportunities for staff reflection:</w:t>
      </w:r>
      <w:r w:rsidDel="00000000" w:rsidR="00000000" w:rsidRPr="00000000">
        <w:rPr>
          <w:rtl w:val="0"/>
        </w:rPr>
      </w:r>
    </w:p>
    <w:p w:rsidR="00000000" w:rsidDel="00000000" w:rsidP="00000000" w:rsidRDefault="00000000" w:rsidRPr="00000000" w14:paraId="0000002C">
      <w:pPr>
        <w:numPr>
          <w:ilvl w:val="1"/>
          <w:numId w:val="18"/>
        </w:numPr>
        <w:ind w:left="198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As a supplement to student engagement survey:</w:t>
      </w:r>
      <w:r w:rsidDel="00000000" w:rsidR="00000000" w:rsidRPr="00000000">
        <w:rPr>
          <w:rtl w:val="0"/>
        </w:rPr>
      </w:r>
    </w:p>
    <w:p w:rsidR="00000000" w:rsidDel="00000000" w:rsidP="00000000" w:rsidRDefault="00000000" w:rsidRPr="00000000" w14:paraId="0000002D">
      <w:pPr>
        <w:numPr>
          <w:ilvl w:val="2"/>
          <w:numId w:val="19"/>
        </w:numPr>
        <w:ind w:left="300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Students can write letters.</w:t>
      </w:r>
      <w:r w:rsidDel="00000000" w:rsidR="00000000" w:rsidRPr="00000000">
        <w:rPr>
          <w:rtl w:val="0"/>
        </w:rPr>
      </w:r>
    </w:p>
    <w:p w:rsidR="00000000" w:rsidDel="00000000" w:rsidP="00000000" w:rsidRDefault="00000000" w:rsidRPr="00000000" w14:paraId="0000002E">
      <w:pPr>
        <w:numPr>
          <w:ilvl w:val="2"/>
          <w:numId w:val="2"/>
        </w:numPr>
        <w:ind w:left="300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Students can have teacher-student conferences.</w:t>
      </w:r>
      <w:r w:rsidDel="00000000" w:rsidR="00000000" w:rsidRPr="00000000">
        <w:rPr>
          <w:rtl w:val="0"/>
        </w:rPr>
      </w:r>
    </w:p>
    <w:p w:rsidR="00000000" w:rsidDel="00000000" w:rsidP="00000000" w:rsidRDefault="00000000" w:rsidRPr="00000000" w14:paraId="0000002F">
      <w:pPr>
        <w:numPr>
          <w:ilvl w:val="0"/>
          <w:numId w:val="2"/>
        </w:numPr>
        <w:shd w:fill="ffffff" w:val="clear"/>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Eliminate exclusionary practices (and the “behavior room”).</w:t>
      </w:r>
      <w:r w:rsidDel="00000000" w:rsidR="00000000" w:rsidRPr="00000000">
        <w:rPr>
          <w:rtl w:val="0"/>
        </w:rPr>
      </w:r>
    </w:p>
    <w:p w:rsidR="00000000" w:rsidDel="00000000" w:rsidP="00000000" w:rsidRDefault="00000000" w:rsidRPr="00000000" w14:paraId="00000030">
      <w:pPr>
        <w:numPr>
          <w:ilvl w:val="0"/>
          <w:numId w:val="2"/>
        </w:numPr>
        <w:shd w:fill="ffffff" w:val="clear"/>
        <w:spacing w:after="220" w:lineRule="auto"/>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Ensure teacher consistency in advisory from year to year.</w:t>
      </w:r>
      <w:r w:rsidDel="00000000" w:rsidR="00000000" w:rsidRPr="00000000">
        <w:rPr>
          <w:rtl w:val="0"/>
        </w:rPr>
      </w:r>
    </w:p>
    <w:p w:rsidR="00000000" w:rsidDel="00000000" w:rsidP="00000000" w:rsidRDefault="00000000" w:rsidRPr="00000000" w14:paraId="00000031">
      <w:pPr>
        <w:shd w:fill="ffffff" w:val="clear"/>
        <w:spacing w:after="80" w:before="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242424"/>
          <w:sz w:val="21"/>
          <w:szCs w:val="21"/>
          <w:highlight w:val="white"/>
          <w:rtl w:val="0"/>
        </w:rPr>
        <w:t xml:space="preserve">Recommendations for the District to Improve Teacher-Student Relationships:</w:t>
      </w:r>
      <w:r w:rsidDel="00000000" w:rsidR="00000000" w:rsidRPr="00000000">
        <w:rPr>
          <w:rtl w:val="0"/>
        </w:rPr>
      </w:r>
    </w:p>
    <w:p w:rsidR="00000000" w:rsidDel="00000000" w:rsidP="00000000" w:rsidRDefault="00000000" w:rsidRPr="00000000" w14:paraId="00000032">
      <w:pPr>
        <w:numPr>
          <w:ilvl w:val="0"/>
          <w:numId w:val="3"/>
        </w:numPr>
        <w:shd w:fill="ffffff" w:val="clear"/>
        <w:spacing w:before="220" w:lineRule="auto"/>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Increase student transparency with administration:</w:t>
      </w:r>
      <w:r w:rsidDel="00000000" w:rsidR="00000000" w:rsidRPr="00000000">
        <w:rPr>
          <w:rtl w:val="0"/>
        </w:rPr>
      </w:r>
    </w:p>
    <w:p w:rsidR="00000000" w:rsidDel="00000000" w:rsidP="00000000" w:rsidRDefault="00000000" w:rsidRPr="00000000" w14:paraId="00000033">
      <w:pPr>
        <w:numPr>
          <w:ilvl w:val="1"/>
          <w:numId w:val="4"/>
        </w:numPr>
        <w:ind w:left="198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“Get to know your admin” assemblies.</w:t>
      </w:r>
      <w:r w:rsidDel="00000000" w:rsidR="00000000" w:rsidRPr="00000000">
        <w:rPr>
          <w:rtl w:val="0"/>
        </w:rPr>
      </w:r>
    </w:p>
    <w:p w:rsidR="00000000" w:rsidDel="00000000" w:rsidP="00000000" w:rsidRDefault="00000000" w:rsidRPr="00000000" w14:paraId="00000034">
      <w:pPr>
        <w:numPr>
          <w:ilvl w:val="1"/>
          <w:numId w:val="5"/>
        </w:numPr>
        <w:ind w:left="198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Present administration.</w:t>
      </w:r>
      <w:r w:rsidDel="00000000" w:rsidR="00000000" w:rsidRPr="00000000">
        <w:rPr>
          <w:rtl w:val="0"/>
        </w:rPr>
      </w:r>
    </w:p>
    <w:p w:rsidR="00000000" w:rsidDel="00000000" w:rsidP="00000000" w:rsidRDefault="00000000" w:rsidRPr="00000000" w14:paraId="00000035">
      <w:pPr>
        <w:numPr>
          <w:ilvl w:val="1"/>
          <w:numId w:val="6"/>
        </w:numPr>
        <w:ind w:left="198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Transparency in rules/structure.</w:t>
      </w:r>
      <w:r w:rsidDel="00000000" w:rsidR="00000000" w:rsidRPr="00000000">
        <w:rPr>
          <w:rtl w:val="0"/>
        </w:rPr>
      </w:r>
    </w:p>
    <w:p w:rsidR="00000000" w:rsidDel="00000000" w:rsidP="00000000" w:rsidRDefault="00000000" w:rsidRPr="00000000" w14:paraId="00000036">
      <w:pPr>
        <w:numPr>
          <w:ilvl w:val="0"/>
          <w:numId w:val="6"/>
        </w:numPr>
        <w:shd w:fill="ffffff" w:val="clear"/>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Improve data management:</w:t>
      </w:r>
      <w:r w:rsidDel="00000000" w:rsidR="00000000" w:rsidRPr="00000000">
        <w:rPr>
          <w:rtl w:val="0"/>
        </w:rPr>
      </w:r>
    </w:p>
    <w:p w:rsidR="00000000" w:rsidDel="00000000" w:rsidP="00000000" w:rsidRDefault="00000000" w:rsidRPr="00000000" w14:paraId="00000037">
      <w:pPr>
        <w:numPr>
          <w:ilvl w:val="1"/>
          <w:numId w:val="7"/>
        </w:numPr>
        <w:ind w:left="198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Discipline: Increase standards for discipline data collection in schools.</w:t>
      </w:r>
      <w:r w:rsidDel="00000000" w:rsidR="00000000" w:rsidRPr="00000000">
        <w:rPr>
          <w:rtl w:val="0"/>
        </w:rPr>
      </w:r>
    </w:p>
    <w:p w:rsidR="00000000" w:rsidDel="00000000" w:rsidP="00000000" w:rsidRDefault="00000000" w:rsidRPr="00000000" w14:paraId="00000038">
      <w:pPr>
        <w:numPr>
          <w:ilvl w:val="1"/>
          <w:numId w:val="8"/>
        </w:numPr>
        <w:ind w:left="198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Student engagement: Have every student take the engagement surveys.</w:t>
      </w:r>
      <w:r w:rsidDel="00000000" w:rsidR="00000000" w:rsidRPr="00000000">
        <w:rPr>
          <w:rtl w:val="0"/>
        </w:rPr>
      </w:r>
    </w:p>
    <w:p w:rsidR="00000000" w:rsidDel="00000000" w:rsidP="00000000" w:rsidRDefault="00000000" w:rsidRPr="00000000" w14:paraId="00000039">
      <w:pPr>
        <w:numPr>
          <w:ilvl w:val="1"/>
          <w:numId w:val="9"/>
        </w:numPr>
        <w:ind w:left="198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Increase state assessment participation at the high school.</w:t>
      </w:r>
      <w:r w:rsidDel="00000000" w:rsidR="00000000" w:rsidRPr="00000000">
        <w:rPr>
          <w:rtl w:val="0"/>
        </w:rPr>
      </w:r>
    </w:p>
    <w:p w:rsidR="00000000" w:rsidDel="00000000" w:rsidP="00000000" w:rsidRDefault="00000000" w:rsidRPr="00000000" w14:paraId="0000003A">
      <w:pPr>
        <w:numPr>
          <w:ilvl w:val="0"/>
          <w:numId w:val="9"/>
        </w:numPr>
        <w:shd w:fill="ffffff" w:val="clear"/>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Enforce PLC/culturally responsive school improvement work for all teams:</w:t>
      </w:r>
      <w:r w:rsidDel="00000000" w:rsidR="00000000" w:rsidRPr="00000000">
        <w:rPr>
          <w:rtl w:val="0"/>
        </w:rPr>
      </w:r>
    </w:p>
    <w:p w:rsidR="00000000" w:rsidDel="00000000" w:rsidP="00000000" w:rsidRDefault="00000000" w:rsidRPr="00000000" w14:paraId="0000003B">
      <w:pPr>
        <w:numPr>
          <w:ilvl w:val="1"/>
          <w:numId w:val="10"/>
        </w:numPr>
        <w:ind w:left="198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Continue to push the process and require all teachers to engage.</w:t>
      </w:r>
      <w:r w:rsidDel="00000000" w:rsidR="00000000" w:rsidRPr="00000000">
        <w:rPr>
          <w:rtl w:val="0"/>
        </w:rPr>
      </w:r>
    </w:p>
    <w:p w:rsidR="00000000" w:rsidDel="00000000" w:rsidP="00000000" w:rsidRDefault="00000000" w:rsidRPr="00000000" w14:paraId="0000003C">
      <w:pPr>
        <w:numPr>
          <w:ilvl w:val="1"/>
          <w:numId w:val="11"/>
        </w:numPr>
        <w:ind w:left="198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Listen to focal students.</w:t>
      </w:r>
      <w:r w:rsidDel="00000000" w:rsidR="00000000" w:rsidRPr="00000000">
        <w:rPr>
          <w:rtl w:val="0"/>
        </w:rPr>
      </w:r>
    </w:p>
    <w:p w:rsidR="00000000" w:rsidDel="00000000" w:rsidP="00000000" w:rsidRDefault="00000000" w:rsidRPr="00000000" w14:paraId="0000003D">
      <w:pPr>
        <w:numPr>
          <w:ilvl w:val="0"/>
          <w:numId w:val="11"/>
        </w:numPr>
        <w:shd w:fill="ffffff" w:val="clear"/>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Include student interns in the process regarding discipline practices and site-based rules or practices.</w:t>
      </w:r>
      <w:r w:rsidDel="00000000" w:rsidR="00000000" w:rsidRPr="00000000">
        <w:rPr>
          <w:rtl w:val="0"/>
        </w:rPr>
      </w:r>
    </w:p>
    <w:p w:rsidR="00000000" w:rsidDel="00000000" w:rsidP="00000000" w:rsidRDefault="00000000" w:rsidRPr="00000000" w14:paraId="0000003E">
      <w:pPr>
        <w:numPr>
          <w:ilvl w:val="0"/>
          <w:numId w:val="11"/>
        </w:numPr>
        <w:shd w:fill="ffffff" w:val="clear"/>
        <w:spacing w:after="220" w:lineRule="auto"/>
        <w:ind w:left="960" w:hanging="360"/>
        <w:rPr>
          <w:rFonts w:ascii="Times New Roman" w:cs="Times New Roman" w:eastAsia="Times New Roman" w:hAnsi="Times New Roman"/>
          <w:color w:val="242424"/>
          <w:sz w:val="21"/>
          <w:szCs w:val="21"/>
        </w:rPr>
      </w:pPr>
      <w:r w:rsidDel="00000000" w:rsidR="00000000" w:rsidRPr="00000000">
        <w:rPr>
          <w:rFonts w:ascii="Times New Roman" w:cs="Times New Roman" w:eastAsia="Times New Roman" w:hAnsi="Times New Roman"/>
          <w:color w:val="242424"/>
          <w:sz w:val="21"/>
          <w:szCs w:val="21"/>
          <w:highlight w:val="white"/>
          <w:rtl w:val="0"/>
        </w:rPr>
        <w:t xml:space="preserve">Promote teacher bonding.</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A38C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6A38C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unhideWhenUsed w:val="1"/>
    <w:qFormat w:val="1"/>
    <w:rsid w:val="006A38C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unhideWhenUsed w:val="1"/>
    <w:qFormat w:val="1"/>
    <w:rsid w:val="006A38C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6A38C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6A38C2"/>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6A38C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A38C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A38C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A38C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A38C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6A38C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sid w:val="006A38C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A38C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A38C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A38C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A38C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A38C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6A38C2"/>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6A38C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6A38C2"/>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6A38C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A38C2"/>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6A38C2"/>
    <w:rPr>
      <w:i w:val="1"/>
      <w:iCs w:val="1"/>
      <w:color w:val="404040" w:themeColor="text1" w:themeTint="0000BF"/>
    </w:rPr>
  </w:style>
  <w:style w:type="paragraph" w:styleId="ListParagraph">
    <w:name w:val="List Paragraph"/>
    <w:basedOn w:val="Normal"/>
    <w:uiPriority w:val="34"/>
    <w:qFormat w:val="1"/>
    <w:rsid w:val="006A38C2"/>
    <w:pPr>
      <w:ind w:left="720"/>
      <w:contextualSpacing w:val="1"/>
    </w:pPr>
  </w:style>
  <w:style w:type="character" w:styleId="IntenseEmphasis">
    <w:name w:val="Intense Emphasis"/>
    <w:basedOn w:val="DefaultParagraphFont"/>
    <w:uiPriority w:val="21"/>
    <w:qFormat w:val="1"/>
    <w:rsid w:val="006A38C2"/>
    <w:rPr>
      <w:i w:val="1"/>
      <w:iCs w:val="1"/>
      <w:color w:val="0f4761" w:themeColor="accent1" w:themeShade="0000BF"/>
    </w:rPr>
  </w:style>
  <w:style w:type="paragraph" w:styleId="IntenseQuote">
    <w:name w:val="Intense Quote"/>
    <w:basedOn w:val="Normal"/>
    <w:next w:val="Normal"/>
    <w:link w:val="IntenseQuoteChar"/>
    <w:uiPriority w:val="30"/>
    <w:qFormat w:val="1"/>
    <w:rsid w:val="006A38C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A38C2"/>
    <w:rPr>
      <w:i w:val="1"/>
      <w:iCs w:val="1"/>
      <w:color w:val="0f4761" w:themeColor="accent1" w:themeShade="0000BF"/>
    </w:rPr>
  </w:style>
  <w:style w:type="character" w:styleId="IntenseReference">
    <w:name w:val="Intense Reference"/>
    <w:basedOn w:val="DefaultParagraphFont"/>
    <w:uiPriority w:val="32"/>
    <w:qFormat w:val="1"/>
    <w:rsid w:val="006A38C2"/>
    <w:rPr>
      <w:b w:val="1"/>
      <w:bCs w:val="1"/>
      <w:smallCaps w:val="1"/>
      <w:color w:val="0f4761" w:themeColor="accent1" w:themeShade="0000BF"/>
      <w:spacing w:val="5"/>
    </w:rPr>
  </w:style>
  <w:style w:type="paragraph" w:styleId="NormalWeb">
    <w:name w:val="Normal (Web)"/>
    <w:basedOn w:val="Normal"/>
    <w:uiPriority w:val="99"/>
    <w:semiHidden w:val="1"/>
    <w:unhideWhenUsed w:val="1"/>
    <w:rsid w:val="006A38C2"/>
    <w:pPr>
      <w:spacing w:after="100" w:afterAutospacing="1" w:before="100" w:beforeAutospacing="1"/>
    </w:pPr>
    <w:rPr>
      <w:rFonts w:ascii="Times New Roman" w:cs="Times New Roman" w:eastAsia="Times New Roman" w:hAnsi="Times New Roman"/>
      <w:kern w:val="0"/>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8ejKsPfURQUpKC18bjEXWjlIA==">CgMxLjA4AHIhMXBQVF8yY29DSnBzbjRuMEJQN1RlcU1IYjAydjltMXhU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2025-01-15T04:49:00Z</dcterms:created>
  <dc:creator>Abigail A Rombalski</dc:creator>
</cp:coreProperties>
</file>